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Calibri" w:hAnsi="Calibri" w:cs="Calibri"/>
          <w:color w:val="000000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2023年上半年正蓝旗经济运行稳步前行</w:t>
      </w: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（2023年7月25日 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正蓝旗统计局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2023年上半年，</w:t>
      </w:r>
      <w:r>
        <w:rPr>
          <w:rFonts w:hint="eastAsia" w:ascii="仿宋" w:hAnsi="仿宋" w:eastAsia="仿宋" w:cs="仿宋"/>
          <w:sz w:val="32"/>
          <w:szCs w:val="32"/>
        </w:rPr>
        <w:t>在习近平新时代中国特色社会主义思想指导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全旗</w:t>
      </w:r>
      <w:r>
        <w:rPr>
          <w:rFonts w:hint="eastAsia" w:ascii="仿宋" w:hAnsi="仿宋" w:eastAsia="仿宋" w:cs="仿宋"/>
          <w:sz w:val="32"/>
          <w:szCs w:val="32"/>
        </w:rPr>
        <w:t>上下深入学习贯彻党的二十大精神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认真贯彻落实自治区党委、政府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和盟委、行署</w:t>
      </w:r>
      <w:r>
        <w:rPr>
          <w:rFonts w:hint="eastAsia" w:ascii="仿宋" w:hAnsi="仿宋" w:eastAsia="仿宋" w:cs="仿宋"/>
          <w:sz w:val="32"/>
          <w:szCs w:val="32"/>
        </w:rPr>
        <w:t>决策部署，紧扣办好两件大事，坚持稳中求进工作总基调，完整、准确、全面贯彻新发展理念，加快构建新发展格局，笃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(du)</w:t>
      </w:r>
      <w:r>
        <w:rPr>
          <w:rFonts w:hint="eastAsia" w:ascii="仿宋" w:hAnsi="仿宋" w:eastAsia="仿宋" w:cs="仿宋"/>
          <w:sz w:val="32"/>
          <w:szCs w:val="32"/>
        </w:rPr>
        <w:t>定高质量发展，全面贯彻新发展理念，加快融入和构建新发展格局，以“五大任务”为统领，以“五大经济”为抓手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突出做好稳增长、稳就业、稳物价工作，市场需求不断改善，生产供给持续增加，居民收入平稳增长，全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经济运行总体延续稳中向好发展态势。     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旗县生产总值统一核算结果，正蓝旗上半年生产总值(GDP)为31.5亿元，按不变价格计算，同比增长4.6%。分产业看：第一产业增加值为0.63亿元，同比增长15.7%；第二产业增加值为21.3亿元，同比增长5.4%；第三产业增加值为9.57亿元，同比增长2.3%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三次产业结构由去年同期的1.9：68.8：29.3调整为2：67.6：30.4,产业结构更加合理。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农牧业生产状况平稳，畜牧业生产保持增长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上半年，全旗农林牧渔业总产值10434万元，全盟排位第10，可比价增速12.9%，全盟排位第3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农业方面：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我旗农作物总播种面积预计26601公顷，同比增长12%，其中粮食作物面积预计16544公顷，同比增长9.6%，经济作物面积预计10056公顷，同比增长16%。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牧业方面：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上半年主要畜禽产品：牛出栏6000头、牛肉产量1200吨，羊出栏5000只、羊肉产量100吨，奶类产量4.9万吨。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二、工业生产稳步增长，企业效益不断攀升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上半年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正蓝旗规模以上工业总产值累计同比增长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%，全盟排位第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位；规上工业增加值累计同比增长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%，全盟排位第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从产业类型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轻工业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实现较快增长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轻工业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累计产值占比0.7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%，产值累计增速为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55.39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%；重工业累计产值占比99.3%，产值增速为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6.07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%。</w:t>
      </w:r>
    </w:p>
    <w:p>
      <w:p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经济类型看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国有控股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增长稳定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非公有工业企业增长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明显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。全旗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国有控股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企业，累计产值占比96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%，产值累计增速为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3.96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%；非公有工业企业，累计产值占比3.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%，产值累计增速为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173.11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%。</w:t>
      </w:r>
    </w:p>
    <w:p>
      <w:p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从企业规模看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小微企业增长明显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大中型企业总产值增速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有所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降幅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小微企业累计产值占比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%，产值累计增速为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276.6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%；大中型企业累计产值占比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82.6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%，产值累计增速为-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7.63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Style w:val="7"/>
          <w:rFonts w:hint="eastAsia" w:ascii="仿宋" w:hAnsi="仿宋" w:eastAsia="仿宋" w:cs="仿宋"/>
          <w:sz w:val="32"/>
          <w:szCs w:val="32"/>
        </w:rPr>
        <w:t>服务业占比提高，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现代服务业增势较好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上半年，服务业增加值占全旗地区生产总值的比重为30.4%，</w:t>
      </w:r>
      <w:r>
        <w:rPr>
          <w:rFonts w:hint="eastAsia" w:ascii="仿宋" w:hAnsi="仿宋" w:eastAsia="仿宋" w:cs="仿宋"/>
          <w:sz w:val="32"/>
          <w:szCs w:val="32"/>
        </w:rPr>
        <w:t>较同期提高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</w:t>
      </w:r>
      <w:r>
        <w:rPr>
          <w:rFonts w:hint="eastAsia" w:ascii="仿宋" w:hAnsi="仿宋" w:eastAsia="仿宋" w:cs="仿宋"/>
          <w:sz w:val="32"/>
          <w:szCs w:val="32"/>
        </w:rPr>
        <w:t>个百分点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服务业增加值同比增长,2.3%。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分行业看；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住宿和餐饮业增加值同比增长17.6%，批发和零售业增长10.6%，金融业增长5.4%，交通运输业增长4.9%，房地产业增长3.7%，其他服务业增长-3.8%。</w:t>
      </w:r>
    </w:p>
    <w:p>
      <w:pPr>
        <w:numPr>
          <w:ilvl w:val="0"/>
          <w:numId w:val="2"/>
        </w:numPr>
        <w:ind w:left="-10" w:leftChars="0" w:firstLine="64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城乡市场共同发展，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居民消费信心逐步恢复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  <w:t>202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上半年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  <w:shd w:val="clear" w:fill="FFFFFF"/>
        </w:rPr>
        <w:t>全旗社会消费品零售总额实现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60198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  <w:shd w:val="clear" w:fill="FFFFFF"/>
        </w:rPr>
        <w:t>万元，同比增长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7.5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  <w:shd w:val="clear" w:fill="FFFFFF"/>
        </w:rPr>
        <w:t>%，总量与增速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均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  <w:shd w:val="clear" w:fill="FFFFFF"/>
        </w:rPr>
        <w:t>位居全盟第三。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从城乡区域消费层看: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上半年</w:t>
      </w:r>
      <w:r>
        <w:rPr>
          <w:rFonts w:hint="eastAsia" w:ascii="仿宋" w:hAnsi="仿宋" w:eastAsia="仿宋" w:cs="仿宋"/>
          <w:sz w:val="32"/>
          <w:szCs w:val="32"/>
        </w:rPr>
        <w:t>城镇实现社会消费品零售额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51082</w:t>
      </w:r>
      <w:r>
        <w:rPr>
          <w:rFonts w:hint="eastAsia" w:ascii="仿宋" w:hAnsi="仿宋" w:eastAsia="仿宋" w:cs="仿宋"/>
          <w:sz w:val="32"/>
          <w:szCs w:val="32"/>
        </w:rPr>
        <w:t>万元，同比增长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7.7</w:t>
      </w:r>
      <w:r>
        <w:rPr>
          <w:rFonts w:hint="eastAsia" w:ascii="仿宋" w:hAnsi="仿宋" w:eastAsia="仿宋" w:cs="仿宋"/>
          <w:sz w:val="32"/>
          <w:szCs w:val="32"/>
        </w:rPr>
        <w:t>%，占全旗社会消费品零售总额的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84.9</w:t>
      </w:r>
      <w:r>
        <w:rPr>
          <w:rFonts w:hint="eastAsia" w:ascii="仿宋" w:hAnsi="仿宋" w:eastAsia="仿宋" w:cs="仿宋"/>
          <w:sz w:val="32"/>
          <w:szCs w:val="32"/>
        </w:rPr>
        <w:t>%；乡村牧区实现社会消费品零售额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9116</w:t>
      </w:r>
      <w:r>
        <w:rPr>
          <w:rFonts w:hint="eastAsia" w:ascii="仿宋" w:hAnsi="仿宋" w:eastAsia="仿宋" w:cs="仿宋"/>
          <w:sz w:val="32"/>
          <w:szCs w:val="32"/>
        </w:rPr>
        <w:t>万元，同比增长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6.6</w:t>
      </w:r>
      <w:r>
        <w:rPr>
          <w:rFonts w:hint="eastAsia" w:ascii="仿宋" w:hAnsi="仿宋" w:eastAsia="仿宋" w:cs="仿宋"/>
          <w:sz w:val="32"/>
          <w:szCs w:val="32"/>
        </w:rPr>
        <w:t>%，占全旗社会消费品零售总额的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15.1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 w:val="0"/>
          <w:sz w:val="32"/>
          <w:szCs w:val="32"/>
        </w:rPr>
        <w:t>按消费类型分</w:t>
      </w:r>
      <w:r>
        <w:rPr>
          <w:rStyle w:val="7"/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上半年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全旗商品零售实现销售额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50481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万元，同比增长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6.0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%，占全旗社会消费品零售总额的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83.9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%；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全旗餐费收入实现销售额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9716</w:t>
      </w:r>
      <w:r>
        <w:rPr>
          <w:rFonts w:hint="eastAsia" w:ascii="仿宋" w:hAnsi="仿宋" w:eastAsia="仿宋" w:cs="仿宋"/>
          <w:sz w:val="32"/>
          <w:szCs w:val="32"/>
        </w:rPr>
        <w:t>万元，同比增长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16.1</w:t>
      </w:r>
      <w:r>
        <w:rPr>
          <w:rFonts w:hint="eastAsia" w:ascii="仿宋" w:hAnsi="仿宋" w:eastAsia="仿宋" w:cs="仿宋"/>
          <w:sz w:val="32"/>
          <w:szCs w:val="32"/>
        </w:rPr>
        <w:t>%，占全旗社会消费品零售总额的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16.1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固定资产投资增长势头强劲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，社会领域投资成倍增长</w:t>
      </w:r>
    </w:p>
    <w:p>
      <w:pPr>
        <w:pStyle w:val="8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2023年上半年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，正蓝旗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全社会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固定资产投资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18.1%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增速位居全盟第6位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8"/>
        <w:numPr>
          <w:ilvl w:val="0"/>
          <w:numId w:val="0"/>
        </w:numPr>
        <w:spacing w:before="0" w:beforeAutospacing="0" w:after="0" w:afterAutospacing="0" w:line="360" w:lineRule="auto"/>
        <w:ind w:firstLine="643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分领域看：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第三产业发展迅速，上半年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第二产业占比82.7%，同比增长1.8%；第三产业占比17.3%，同比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增长614.8%，主要投资来源为道路运输业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pStyle w:val="8"/>
        <w:numPr>
          <w:ilvl w:val="0"/>
          <w:numId w:val="0"/>
        </w:numPr>
        <w:spacing w:before="0" w:beforeAutospacing="0" w:after="0" w:afterAutospacing="0" w:line="360" w:lineRule="auto"/>
        <w:ind w:firstLine="643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分构成看：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设备投资占主要作用，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建筑安装工程同比增长20.6%，占总投资的26.2%；设备工器具购置同比增长24.5%，占总投资的70.4%；其他费用同比下降47.5%，占总投资的3.4%。</w:t>
      </w:r>
    </w:p>
    <w:p>
      <w:pPr>
        <w:pStyle w:val="8"/>
        <w:numPr>
          <w:ilvl w:val="0"/>
          <w:numId w:val="0"/>
        </w:numPr>
        <w:spacing w:before="0" w:beforeAutospacing="0" w:after="0" w:afterAutospacing="0" w:line="360" w:lineRule="auto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分经济类型看：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非国有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投资发展不足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国有投资同比增长30.0%，占总投资的85.0%，非国有投资同比下降22.4%，占总投资的15.0%。</w:t>
      </w:r>
    </w:p>
    <w:p>
      <w:pPr>
        <w:pStyle w:val="8"/>
        <w:numPr>
          <w:ilvl w:val="0"/>
          <w:numId w:val="0"/>
        </w:numPr>
        <w:spacing w:before="0" w:beforeAutospacing="0" w:after="0" w:afterAutospacing="0" w:line="360" w:lineRule="auto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房地产情况：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房地产本年商品房销售面积9717平方米，同比下降38.7%，其中，住宅面积9596平方米，同比下降33.9%；本年商品房销售额3007万元，同比下降39.6%，其中，住宅面积2946万元，同比下降29.7%。</w:t>
      </w:r>
    </w:p>
    <w:p>
      <w:pPr>
        <w:numPr>
          <w:ilvl w:val="0"/>
          <w:numId w:val="2"/>
        </w:numPr>
        <w:ind w:left="-10" w:leftChars="0" w:firstLine="64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居民收入增长速度稳中趋缓，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城乡居民收入差距进一步缩小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上半年，我旗居民人均可支配收入保持较快增长，实现全体居民人均可支配收入17664元，增速6.8％。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分城乡看，</w:t>
      </w:r>
      <w:r>
        <w:rPr>
          <w:rFonts w:hint="eastAsia" w:ascii="仿宋" w:hAnsi="仿宋" w:eastAsia="仿宋" w:cs="仿宋"/>
          <w:sz w:val="32"/>
          <w:szCs w:val="32"/>
        </w:rPr>
        <w:t>城镇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常住</w:t>
      </w:r>
      <w:r>
        <w:rPr>
          <w:rFonts w:hint="eastAsia" w:ascii="仿宋" w:hAnsi="仿宋" w:eastAsia="仿宋" w:cs="仿宋"/>
          <w:sz w:val="32"/>
          <w:szCs w:val="32"/>
        </w:rPr>
        <w:t>居民人均可支配收入22304元，增速6.1％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农村牧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区常住</w:t>
      </w:r>
      <w:r>
        <w:rPr>
          <w:rFonts w:hint="eastAsia" w:ascii="仿宋" w:hAnsi="仿宋" w:eastAsia="仿宋" w:cs="仿宋"/>
          <w:sz w:val="32"/>
          <w:szCs w:val="32"/>
        </w:rPr>
        <w:t>居民人均可支配收入11442元，增速7.0％。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上半年，</w:t>
      </w:r>
      <w:r>
        <w:rPr>
          <w:rFonts w:hint="eastAsia" w:ascii="仿宋" w:hAnsi="仿宋" w:eastAsia="仿宋" w:cs="仿宋"/>
          <w:sz w:val="32"/>
          <w:szCs w:val="32"/>
        </w:rPr>
        <w:t>农村牧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居民人均可支配收入增长快于城镇居民，农村牧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居民人均可支配收入增幅比城镇居民增幅高0.2个百分点，城乡居民人均可支配收入之比为1.95：1，较上年的1.97：1缩小了0．02个百分点，城乡居民收入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呈现</w:t>
      </w:r>
      <w:r>
        <w:rPr>
          <w:rFonts w:hint="eastAsia" w:ascii="仿宋" w:hAnsi="仿宋" w:eastAsia="仿宋" w:cs="仿宋"/>
          <w:sz w:val="32"/>
          <w:szCs w:val="32"/>
        </w:rPr>
        <w:t>差距逐年缩小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乡村振兴取得积极成效。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上半年，正蓝旗全体居民人均消费支出12162元，同比增长21.2％。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分城乡看，</w:t>
      </w:r>
      <w:r>
        <w:rPr>
          <w:rFonts w:hint="eastAsia" w:ascii="仿宋" w:hAnsi="仿宋" w:eastAsia="仿宋" w:cs="仿宋"/>
          <w:sz w:val="32"/>
          <w:szCs w:val="32"/>
        </w:rPr>
        <w:t>城镇居民人均消费支出15134元，同比增长18.1％；农村牧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居民人均消费支出8074元，同比增长23.8％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总的来看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上半年，全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经济运行持续向好。同时应看到，国内经济持续恢复的基础仍不稳固，需求不足的制约尚存，推动经济持续向好的趋势仍需巩固。下阶段，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我旗</w:t>
      </w:r>
      <w:r>
        <w:rPr>
          <w:rFonts w:hint="eastAsia" w:ascii="仿宋" w:hAnsi="仿宋" w:eastAsia="仿宋" w:cs="仿宋"/>
          <w:sz w:val="32"/>
          <w:szCs w:val="32"/>
        </w:rPr>
        <w:t>要沿着习近平总书记指引的方向，坚定闯新路、进中游的信心，铆足办好两件大事的劲头，按照坚持稳字当头、稳中求进，把稳增长放在更加突出的位置，只争朝夕、实打实干，持续推动经济平稳向好发展，保持经济运行在合理区间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sz w:val="24"/>
          <w:szCs w:val="24"/>
        </w:rPr>
        <w:t>   </w:t>
      </w: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编辑：曹永富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正蓝旗20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上半年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固定资产投资</w:t>
      </w:r>
    </w:p>
    <w:p>
      <w:pPr>
        <w:jc w:val="center"/>
        <w:rPr>
          <w:rFonts w:hint="default" w:ascii="仿宋" w:hAnsi="仿宋" w:eastAsia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同比增长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18.1%</w:t>
      </w:r>
    </w:p>
    <w:p>
      <w:pPr>
        <w:pStyle w:val="8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今年以来，正蓝旗统计局全力推进稳投资促增长工作，有利有效有序推进项目建设，积极扩大有效投资，上半年全旗固定资产投资实现稳步增长。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固定资产投资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运行情况</w:t>
      </w:r>
    </w:p>
    <w:p>
      <w:pPr>
        <w:pStyle w:val="8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据盟统计局反馈数据，2023年上半年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，正蓝旗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全社会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固定资产投资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同比增长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18.1%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增速位居全盟第6位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8"/>
        <w:numPr>
          <w:ilvl w:val="0"/>
          <w:numId w:val="4"/>
        </w:numPr>
        <w:spacing w:before="0" w:beforeAutospacing="0" w:after="0" w:afterAutospacing="0" w:line="360" w:lineRule="auto"/>
        <w:ind w:firstLine="643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分领域看，第三产业发展迅速。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1-6月，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第二产业占比82.7%，同比增长1.8%；第三产业占比17.3%，同比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增长614.8%，主要投资来源为道路运输业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pStyle w:val="8"/>
        <w:numPr>
          <w:ilvl w:val="0"/>
          <w:numId w:val="4"/>
        </w:numPr>
        <w:spacing w:before="0" w:beforeAutospacing="0" w:after="0" w:afterAutospacing="0" w:line="360" w:lineRule="auto"/>
        <w:ind w:firstLine="643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分构成看，设备投资占主要作用。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建筑安装工程同比增长20.6%，占总投资的26.2%；设备工器具购置同比增长24.5%，占总投资的70.4%；其他费用同比下降47.5%，占总投资的3.4%。</w:t>
      </w:r>
    </w:p>
    <w:p>
      <w:pPr>
        <w:pStyle w:val="8"/>
        <w:numPr>
          <w:ilvl w:val="0"/>
          <w:numId w:val="4"/>
        </w:numPr>
        <w:spacing w:before="0" w:beforeAutospacing="0" w:after="0" w:afterAutospacing="0" w:line="360" w:lineRule="auto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分经济类型看，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非国有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投资发展不足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国有投资同比增长30.0%，占总投资的85.0%，非国有投资同比下降22.4%，占总投资的15.0%。</w:t>
      </w:r>
    </w:p>
    <w:p>
      <w:pPr>
        <w:pStyle w:val="8"/>
        <w:numPr>
          <w:ilvl w:val="0"/>
          <w:numId w:val="4"/>
        </w:numPr>
        <w:spacing w:before="0" w:beforeAutospacing="0" w:after="0" w:afterAutospacing="0" w:line="360" w:lineRule="auto"/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房地产面积销售情况</w:t>
      </w:r>
    </w:p>
    <w:p>
      <w:pPr>
        <w:pStyle w:val="8"/>
        <w:numPr>
          <w:ilvl w:val="0"/>
          <w:numId w:val="0"/>
        </w:numPr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房地产本年商品房销售面积9717平方米，同比下降38.7%，其中，住宅面积9596平方米，同比下降33.9%；本年商品房销售额3007万元，同比下降39.6%，其中，住宅面积2946万元，同比下降29.7%。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上半年，我旗开复工并产生投资项目22个，投资主要来源于北方上都百万千瓦级风电基地项目、唐合新能源上都风电百万千瓦级40万千瓦风电项目、元上都遗址游客中心建设项目、煤场封闭项目等。</w:t>
      </w:r>
    </w:p>
    <w:p>
      <w:pPr>
        <w:numPr>
          <w:ilvl w:val="0"/>
          <w:numId w:val="3"/>
        </w:numPr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投资运行中存在的问题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上半年</w:t>
      </w:r>
      <w:r>
        <w:rPr>
          <w:rFonts w:hint="eastAsia" w:ascii="仿宋" w:hAnsi="仿宋" w:eastAsia="仿宋" w:cs="仿宋"/>
          <w:sz w:val="32"/>
          <w:szCs w:val="32"/>
        </w:rPr>
        <w:t>，尚无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第一产业</w:t>
      </w:r>
      <w:r>
        <w:rPr>
          <w:rFonts w:hint="eastAsia" w:ascii="仿宋" w:hAnsi="仿宋" w:eastAsia="仿宋" w:cs="仿宋"/>
          <w:sz w:val="32"/>
          <w:szCs w:val="32"/>
        </w:rPr>
        <w:t>项目申报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投资</w:t>
      </w:r>
      <w:r>
        <w:rPr>
          <w:rFonts w:hint="eastAsia" w:ascii="仿宋" w:hAnsi="仿宋" w:eastAsia="仿宋" w:cs="仿宋"/>
          <w:sz w:val="32"/>
          <w:szCs w:val="32"/>
        </w:rPr>
        <w:t>，给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第一产业投资</w:t>
      </w:r>
      <w:r>
        <w:rPr>
          <w:rFonts w:hint="eastAsia" w:ascii="仿宋" w:hAnsi="仿宋" w:eastAsia="仿宋" w:cs="仿宋"/>
          <w:sz w:val="32"/>
          <w:szCs w:val="32"/>
        </w:rPr>
        <w:t>带来一定程度影响。</w:t>
      </w:r>
    </w:p>
    <w:p>
      <w:pPr>
        <w:numPr>
          <w:ilvl w:val="0"/>
          <w:numId w:val="3"/>
        </w:numPr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下一步工作建议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kern w:val="21"/>
          <w:sz w:val="32"/>
          <w:szCs w:val="32"/>
          <w:lang w:eastAsia="zh-CN"/>
        </w:rPr>
        <w:t>上半年，全旗投资总体呈现平稳增长的态势，但仍存在着项目做地出地速度较慢、项目建设推进不快等问题，亟需引起高度重视。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  <w:t>做好靠前服务，提高项目入库率。针对开工重点项目，要主动靠前服务，加强跟踪监测，帮助协调解决项目建设中存在的问题，促进项目尽快开工，尽早纳统。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  <w:t>夯实统计基础，提高上报数据质量。要严格投资统计制度要求，指导企业建立统计台账，规范整理上报数据支撑资料，保证投资统计源头数据真实性，确保数据质量。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  <w:t xml:space="preserve">                                        编辑</w:t>
      </w:r>
      <w:r>
        <w:rPr>
          <w:rFonts w:hint="eastAsia" w:ascii="仿宋" w:hAnsi="仿宋" w:eastAsia="仿宋" w:cs="仿宋"/>
          <w:spacing w:val="0"/>
          <w:kern w:val="21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0"/>
          <w:kern w:val="21"/>
          <w:sz w:val="32"/>
          <w:szCs w:val="32"/>
          <w:lang w:eastAsia="zh-CN"/>
        </w:rPr>
        <w:t>于晓彤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2023年上半年正蓝旗居民收入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和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消费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支出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2023年是全面贯彻党的二十大精神开局之年，正蓝旗党委政府认真贯彻落实自治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、盟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行署各项决策部署，坚持以人民为中心的思想，切实加大民生投入，大力促进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sz w:val="32"/>
          <w:szCs w:val="32"/>
        </w:rPr>
        <w:t>就业，积极实施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系列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惠农惠牧</w:t>
      </w:r>
      <w:r>
        <w:rPr>
          <w:rFonts w:hint="eastAsia" w:ascii="仿宋" w:hAnsi="仿宋" w:eastAsia="仿宋" w:cs="仿宋"/>
          <w:sz w:val="32"/>
          <w:szCs w:val="32"/>
        </w:rPr>
        <w:t>政策，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上半年，</w:t>
      </w:r>
      <w:r>
        <w:rPr>
          <w:rFonts w:hint="eastAsia" w:ascii="仿宋" w:hAnsi="仿宋" w:eastAsia="仿宋" w:cs="仿宋"/>
          <w:sz w:val="32"/>
          <w:szCs w:val="32"/>
        </w:rPr>
        <w:t>城乡居民收入增长较快，消费支出大幅提升。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全旗经济社会运行出现良好态势。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一、全旗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居民可支配收入和消费支出情况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2023年上半年，我旗居民人均可支配收入保持较快增长，实现全体居民人均可支配收入17664元，增速6.8％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增速分别高于全盟和全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1.7个百分点、1.1个百分点。其中：城镇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常住</w:t>
      </w:r>
      <w:r>
        <w:rPr>
          <w:rFonts w:hint="eastAsia" w:ascii="仿宋" w:hAnsi="仿宋" w:eastAsia="仿宋" w:cs="仿宋"/>
          <w:sz w:val="32"/>
          <w:szCs w:val="32"/>
        </w:rPr>
        <w:t>居民人均可支配收入22304元，增速6.1％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增速分别高于全盟和全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1.3个百分点、1.4个百分点，农村牧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区常住</w:t>
      </w:r>
      <w:r>
        <w:rPr>
          <w:rFonts w:hint="eastAsia" w:ascii="仿宋" w:hAnsi="仿宋" w:eastAsia="仿宋" w:cs="仿宋"/>
          <w:sz w:val="32"/>
          <w:szCs w:val="32"/>
        </w:rPr>
        <w:t>居民人均可支配收入11442元，增速7.0％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增速高于全盟0.5个百分点，低于全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0.4个百分点。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（二）城乡居民收入差距进一步缩小。农村牧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居民人均可支配收入增长快于城镇居民，农村牧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居民人均可支配收入增幅比城镇居民增幅高0.2个百分点，城乡居民人均可支配收入之比为1.95：1，较上年的1.97：1缩小了0．02个百分点，城乡居民收入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呈现</w:t>
      </w:r>
      <w:r>
        <w:rPr>
          <w:rFonts w:hint="eastAsia" w:ascii="仿宋" w:hAnsi="仿宋" w:eastAsia="仿宋" w:cs="仿宋"/>
          <w:sz w:val="32"/>
          <w:szCs w:val="32"/>
        </w:rPr>
        <w:t>差距逐年缩小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乡村振兴取得积极成效。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居民</w:t>
      </w:r>
      <w:r>
        <w:rPr>
          <w:rFonts w:hint="eastAsia" w:ascii="仿宋" w:hAnsi="仿宋" w:eastAsia="仿宋" w:cs="仿宋"/>
          <w:sz w:val="32"/>
          <w:szCs w:val="32"/>
        </w:rPr>
        <w:t>消费支出情况。2023年上半年，正蓝旗全体居民人均消费支出12162元，同比增长21.2％，增速高于全盟4.2个百分点，高于全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3.9个百分点。其中：城镇居民人均消费支出15134元，同比增长18.1％，高于全盟3.8个百分点，高于全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2.2个百分点；农村牧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居民人均消费支出8074元，同比增长23.8％，增速高于全盟2.6个百分点，高于全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3.9个百分点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tbl>
      <w:tblPr>
        <w:tblStyle w:val="5"/>
        <w:tblW w:w="8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016"/>
        <w:gridCol w:w="856"/>
        <w:gridCol w:w="856"/>
        <w:gridCol w:w="856"/>
        <w:gridCol w:w="1016"/>
        <w:gridCol w:w="856"/>
        <w:gridCol w:w="856"/>
        <w:gridCol w:w="856"/>
        <w:gridCol w:w="1016"/>
        <w:gridCol w:w="856"/>
        <w:gridCol w:w="856"/>
        <w:gridCol w:w="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2023年上半年锡林郭勒盟旗县（市、区）居民可支配收入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单位：元、%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地区名称</w:t>
            </w:r>
          </w:p>
        </w:tc>
        <w:tc>
          <w:tcPr>
            <w:tcW w:w="265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2565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城镇居民</w:t>
            </w:r>
          </w:p>
        </w:tc>
        <w:tc>
          <w:tcPr>
            <w:tcW w:w="249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农村牧区居民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绝对值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位次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位位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绝对值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位次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位次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绝对值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位次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    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19672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6.5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26357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10551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7.8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 治 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18151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5.7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24339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8353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锡林郭勒盟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19619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6（全区）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6（全区）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24301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6（全区）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6（全区）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10178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6（全区）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6.5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10（全区）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正蓝旗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17664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9（全盟）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6.8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1（全盟）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22304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12（全盟）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6.1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1（全盟）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11442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4（全盟）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4（全盟）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2023年上半年锡林郭勒盟旗县（市、区）居民消费支出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单位：元、%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地区名称</w:t>
            </w:r>
          </w:p>
        </w:tc>
        <w:tc>
          <w:tcPr>
            <w:tcW w:w="265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2565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城镇居民</w:t>
            </w:r>
          </w:p>
        </w:tc>
        <w:tc>
          <w:tcPr>
            <w:tcW w:w="249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农村牧区居民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绝对值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位次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位次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绝对值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位次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位次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绝对值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位次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    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12739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8.4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15810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7.7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8550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8.5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 治 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12667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17.3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15162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15.9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8717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19.9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锡林郭勒盟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13957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6（全区）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17.0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6（全区）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16249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5（全区）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14.3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8（全区）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9336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5（全区）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21.2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3（全区）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正蓝旗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12162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7（全盟）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21.2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1（全盟）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15134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7（全盟）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18.1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3（全盟）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8074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8（全盟）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23.8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4（全盟）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收入和消费支出增长的因素：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收入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存在的主要问题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从全旗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居民</w:t>
      </w:r>
      <w:r>
        <w:rPr>
          <w:rFonts w:hint="eastAsia" w:ascii="仿宋" w:hAnsi="仿宋" w:eastAsia="仿宋" w:cs="仿宋"/>
          <w:sz w:val="32"/>
          <w:szCs w:val="32"/>
        </w:rPr>
        <w:t>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</w:t>
      </w:r>
      <w:r>
        <w:rPr>
          <w:rFonts w:hint="eastAsia" w:ascii="仿宋" w:hAnsi="仿宋" w:eastAsia="仿宋" w:cs="仿宋"/>
          <w:sz w:val="32"/>
          <w:szCs w:val="32"/>
        </w:rPr>
        <w:t>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来</w:t>
      </w:r>
      <w:r>
        <w:rPr>
          <w:rFonts w:hint="eastAsia" w:ascii="仿宋" w:hAnsi="仿宋" w:eastAsia="仿宋" w:cs="仿宋"/>
          <w:sz w:val="32"/>
          <w:szCs w:val="32"/>
        </w:rPr>
        <w:t>看，全旗城乡居民人均可支配收入总体保持较快增长势头，消费支出呈现爆发式的增长，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也</w:t>
      </w:r>
      <w:r>
        <w:rPr>
          <w:rFonts w:hint="eastAsia" w:ascii="仿宋" w:hAnsi="仿宋" w:eastAsia="仿宋" w:cs="仿宋"/>
          <w:sz w:val="32"/>
          <w:szCs w:val="32"/>
        </w:rPr>
        <w:t>存在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一些问题</w:t>
      </w:r>
      <w:r>
        <w:rPr>
          <w:rFonts w:hint="eastAsia" w:ascii="仿宋" w:hAnsi="仿宋" w:eastAsia="仿宋" w:cs="仿宋"/>
          <w:sz w:val="32"/>
          <w:szCs w:val="32"/>
        </w:rPr>
        <w:t>。全旗城乡居民人均可支配收入总量低于全盟平均水平。从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抽样调查</w:t>
      </w:r>
      <w:r>
        <w:rPr>
          <w:rFonts w:hint="eastAsia" w:ascii="仿宋" w:hAnsi="仿宋" w:eastAsia="仿宋" w:cs="仿宋"/>
          <w:sz w:val="32"/>
          <w:szCs w:val="32"/>
        </w:rPr>
        <w:t>数据看，2023年上半年全旗城镇居民人均可支配收入为22304元，较全盟少1997元；农村牧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居民人均可支配收入11442元，较全盟多1264元，城镇居民人均可支配收入总量与全盟平均水平有一定差距。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城镇居民收入有待提高。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（二）全旗消费市场延续恢复态势，城市烟火气在不断回归。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上半年，我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居民收入和支出均保持了较快增长，这是全旗消费市场持续恢复的前提和基础。今年以来，全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上下坚持把恢复和扩大消费摆在优先位置，发展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</w:t>
      </w:r>
      <w:r>
        <w:rPr>
          <w:rFonts w:hint="eastAsia" w:ascii="仿宋" w:hAnsi="仿宋" w:eastAsia="仿宋" w:cs="仿宋"/>
          <w:sz w:val="32"/>
          <w:szCs w:val="32"/>
        </w:rPr>
        <w:t>店经济、夜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经济等方式，切实推动扩内需促消费政策落实落细。全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消费规模持续扩大、消费结构加快升级、消费模式不断创新的条件下，全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消费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出现高速增长</w:t>
      </w:r>
      <w:r>
        <w:rPr>
          <w:rFonts w:hint="eastAsia" w:ascii="仿宋" w:hAnsi="仿宋" w:eastAsia="仿宋" w:cs="仿宋"/>
          <w:sz w:val="32"/>
          <w:szCs w:val="32"/>
        </w:rPr>
        <w:t>运行态势。主要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有以下</w:t>
      </w:r>
      <w:r>
        <w:rPr>
          <w:rFonts w:hint="eastAsia" w:ascii="仿宋" w:hAnsi="仿宋" w:eastAsia="仿宋" w:cs="仿宋"/>
          <w:sz w:val="32"/>
          <w:szCs w:val="32"/>
        </w:rPr>
        <w:t>因素，一是农村牧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市场蕴藏较大潜力，消费增长空间广阔。二是消费支撑因素较多。一方面，就业形势总体改善，有利于居民增收；另一方面，促消费政策的持续发力，有利于提升居民的消费意愿。三是消费新动能较快成长，消费新业态新模式不断涌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文化娱乐及旅游观光</w:t>
      </w:r>
      <w:r>
        <w:rPr>
          <w:rFonts w:hint="eastAsia" w:ascii="仿宋" w:hAnsi="仿宋" w:eastAsia="仿宋" w:cs="仿宋"/>
          <w:sz w:val="32"/>
          <w:szCs w:val="32"/>
        </w:rPr>
        <w:t>消费、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互联网</w:t>
      </w:r>
      <w:r>
        <w:rPr>
          <w:rFonts w:hint="eastAsia" w:ascii="仿宋" w:hAnsi="仿宋" w:eastAsia="仿宋" w:cs="仿宋"/>
          <w:sz w:val="32"/>
          <w:szCs w:val="32"/>
        </w:rPr>
        <w:t>消费等带动作用持续增强，为消费增长注入新动力。除了上述因素以外，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正蓝旗委政府</w:t>
      </w:r>
      <w:r>
        <w:rPr>
          <w:rFonts w:hint="eastAsia" w:ascii="仿宋" w:hAnsi="仿宋" w:eastAsia="仿宋" w:cs="仿宋"/>
          <w:sz w:val="32"/>
          <w:szCs w:val="32"/>
        </w:rPr>
        <w:t>继续把恢复和扩大消费摆在优先位置，落实好促消费各项政策，持续提升传统消费，加快培育新型消费，助推消费市场不断向上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的原因。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三、促进城乡居民增收建议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和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）稳定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提质增效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畜牧业</w:t>
      </w:r>
      <w:r>
        <w:rPr>
          <w:rFonts w:hint="eastAsia" w:ascii="仿宋" w:hAnsi="仿宋" w:eastAsia="仿宋" w:cs="仿宋"/>
          <w:sz w:val="32"/>
          <w:szCs w:val="32"/>
        </w:rPr>
        <w:t>，进一步提高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居民</w:t>
      </w:r>
      <w:r>
        <w:rPr>
          <w:rFonts w:hint="eastAsia" w:ascii="仿宋" w:hAnsi="仿宋" w:eastAsia="仿宋" w:cs="仿宋"/>
          <w:sz w:val="32"/>
          <w:szCs w:val="32"/>
        </w:rPr>
        <w:t>经营净收入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中央一号文件指出“强国必先强农，农强方能国强”，在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传统</w:t>
      </w:r>
      <w:r>
        <w:rPr>
          <w:rFonts w:hint="eastAsia" w:ascii="仿宋" w:hAnsi="仿宋" w:eastAsia="仿宋" w:cs="仿宋"/>
          <w:sz w:val="32"/>
          <w:szCs w:val="32"/>
        </w:rPr>
        <w:t>畜牧业产量保持稳定的同时，大力发展绿色畜牧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</w:t>
      </w:r>
      <w:r>
        <w:rPr>
          <w:rFonts w:hint="eastAsia" w:ascii="仿宋" w:hAnsi="仿宋" w:eastAsia="仿宋" w:cs="仿宋"/>
          <w:sz w:val="32"/>
          <w:szCs w:val="32"/>
        </w:rPr>
        <w:t>、草原生态旅游业，促进城乡消费，政府相关部门要加大力度帮助当地农牧民谋划好产业发展，提前部署抓好畜牧业的管护工作，提高畜产品质量，增加农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牧</w:t>
      </w:r>
      <w:r>
        <w:rPr>
          <w:rFonts w:hint="eastAsia" w:ascii="仿宋" w:hAnsi="仿宋" w:eastAsia="仿宋" w:cs="仿宋"/>
          <w:sz w:val="32"/>
          <w:szCs w:val="32"/>
        </w:rPr>
        <w:t>民收入。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二）在城镇，大力发展“第三产业”，把那达慕大会、夏季广场文化活动搞起来，让门店红火起来，把草原生态旅游发展起来，使得我旗生态旅游带动“三产”收入，带动劳动就业和居民收入。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4572000" cy="2743200"/>
            <wp:effectExtent l="4445" t="4445" r="14605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4572000" cy="2743200"/>
            <wp:effectExtent l="4445" t="4445" r="14605" b="14605"/>
            <wp:docPr id="1" name="图表 1" descr="7b0a202020202263686172745265734964223a20223230343736303831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编辑：包慧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92" w:firstLineChars="200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33"/>
          <w:szCs w:val="33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92" w:firstLineChars="200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33"/>
          <w:szCs w:val="33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92" w:firstLineChars="200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33"/>
          <w:szCs w:val="33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92" w:firstLineChars="200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33"/>
          <w:szCs w:val="33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912" w:firstLineChars="200"/>
        <w:jc w:val="center"/>
        <w:rPr>
          <w:rFonts w:ascii="微软雅黑" w:hAnsi="微软雅黑" w:eastAsia="微软雅黑" w:cs="微软雅黑"/>
          <w:i w:val="0"/>
          <w:caps w:val="0"/>
          <w:color w:val="222222"/>
          <w:spacing w:val="8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44"/>
          <w:szCs w:val="44"/>
          <w:shd w:val="clear" w:fill="FFFFFF"/>
        </w:rPr>
        <w:t>正蓝旗202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44"/>
          <w:szCs w:val="4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44"/>
          <w:szCs w:val="44"/>
          <w:shd w:val="clear" w:fill="FFFFFF"/>
          <w:lang w:eastAsia="zh-CN"/>
        </w:rPr>
        <w:t>上半年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44"/>
          <w:szCs w:val="44"/>
          <w:shd w:val="clear" w:fill="FFFFFF"/>
        </w:rPr>
        <w:t>消费市场运行情况分析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上半年，正蓝旗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  <w:t>消费品市场得到全面恢复性营业，消费品市场呈现出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快速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  <w:t>回升的发展态势。202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上半年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  <w:shd w:val="clear" w:fill="FFFFFF"/>
        </w:rPr>
        <w:t>全旗社会消费品零售总额实现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60198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  <w:shd w:val="clear" w:fill="FFFFFF"/>
        </w:rPr>
        <w:t>万元，同比增长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7.5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  <w:shd w:val="clear" w:fill="FFFFFF"/>
        </w:rPr>
        <w:t>%，总量与增速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全部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  <w:shd w:val="clear" w:fill="FFFFFF"/>
        </w:rPr>
        <w:t>位居全盟第三。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上半年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消费品市场运行主要特点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城乡市场共同发展，城镇消费占主力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月城镇实现社会消费品零售额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51082</w:t>
      </w:r>
      <w:r>
        <w:rPr>
          <w:rFonts w:hint="eastAsia" w:ascii="仿宋" w:hAnsi="仿宋" w:eastAsia="仿宋" w:cs="仿宋"/>
          <w:sz w:val="32"/>
          <w:szCs w:val="32"/>
        </w:rPr>
        <w:t>万元，同比增长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7.7</w:t>
      </w:r>
      <w:r>
        <w:rPr>
          <w:rFonts w:hint="eastAsia" w:ascii="仿宋" w:hAnsi="仿宋" w:eastAsia="仿宋" w:cs="仿宋"/>
          <w:sz w:val="32"/>
          <w:szCs w:val="32"/>
        </w:rPr>
        <w:t>%，占全旗社会消费品零售总额的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84.9</w:t>
      </w:r>
      <w:r>
        <w:rPr>
          <w:rFonts w:hint="eastAsia" w:ascii="仿宋" w:hAnsi="仿宋" w:eastAsia="仿宋" w:cs="仿宋"/>
          <w:sz w:val="32"/>
          <w:szCs w:val="32"/>
        </w:rPr>
        <w:t>%；乡村牧区实现社会消费品零售额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9116</w:t>
      </w:r>
      <w:r>
        <w:rPr>
          <w:rFonts w:hint="eastAsia" w:ascii="仿宋" w:hAnsi="仿宋" w:eastAsia="仿宋" w:cs="仿宋"/>
          <w:sz w:val="32"/>
          <w:szCs w:val="32"/>
        </w:rPr>
        <w:t>万元，同比增长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6.6</w:t>
      </w:r>
      <w:r>
        <w:rPr>
          <w:rFonts w:hint="eastAsia" w:ascii="仿宋" w:hAnsi="仿宋" w:eastAsia="仿宋" w:cs="仿宋"/>
          <w:sz w:val="32"/>
          <w:szCs w:val="32"/>
        </w:rPr>
        <w:t>%，占全旗社会消费品零售总额的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15.1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leftChars="0" w:right="0" w:rightChars="0"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批发、零售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</w:t>
      </w:r>
      <w:r>
        <w:rPr>
          <w:rFonts w:hint="eastAsia" w:ascii="仿宋" w:hAnsi="仿宋" w:eastAsia="仿宋" w:cs="仿宋"/>
          <w:sz w:val="32"/>
          <w:szCs w:val="32"/>
        </w:rPr>
        <w:t>稳健增长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月，全旗商品零售实现销售额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50481</w:t>
      </w:r>
      <w:r>
        <w:rPr>
          <w:rFonts w:hint="eastAsia" w:ascii="仿宋" w:hAnsi="仿宋" w:eastAsia="仿宋" w:cs="仿宋"/>
          <w:sz w:val="32"/>
          <w:szCs w:val="32"/>
        </w:rPr>
        <w:t>万元，同比增长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6.0</w:t>
      </w:r>
      <w:r>
        <w:rPr>
          <w:rFonts w:hint="eastAsia" w:ascii="仿宋" w:hAnsi="仿宋" w:eastAsia="仿宋" w:cs="仿宋"/>
          <w:sz w:val="32"/>
          <w:szCs w:val="32"/>
        </w:rPr>
        <w:t>%，占全旗社会消费品零售总额的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83.9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>
      <w:pPr>
        <w:numPr>
          <w:ilvl w:val="0"/>
          <w:numId w:val="5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住宿餐饮业增速较快，连续四个月超两位数增长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全旗餐费收入实现销售额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9716</w:t>
      </w:r>
      <w:r>
        <w:rPr>
          <w:rFonts w:hint="eastAsia" w:ascii="仿宋" w:hAnsi="仿宋" w:eastAsia="仿宋" w:cs="仿宋"/>
          <w:sz w:val="32"/>
          <w:szCs w:val="32"/>
        </w:rPr>
        <w:t>万元，同比增长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16.1</w:t>
      </w:r>
      <w:r>
        <w:rPr>
          <w:rFonts w:hint="eastAsia" w:ascii="仿宋" w:hAnsi="仿宋" w:eastAsia="仿宋" w:cs="仿宋"/>
          <w:sz w:val="32"/>
          <w:szCs w:val="32"/>
        </w:rPr>
        <w:t>%，占全旗社会消费品零售总额的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16.1</w:t>
      </w:r>
      <w:r>
        <w:rPr>
          <w:rFonts w:hint="eastAsia" w:ascii="仿宋" w:hAnsi="仿宋" w:eastAsia="仿宋" w:cs="仿宋"/>
          <w:sz w:val="32"/>
          <w:szCs w:val="32"/>
        </w:rPr>
        <w:t>%；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2023年3月开始，连续4个月成两位数增长态势，3-6月分别同比增长14.7、16.3、14.5、16.1。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总体来看，上半年消费市场保持了较快的增速，尤其是住宿餐饮业起到了很好的拉动作用，下半年要继续贯彻各级政府的决策部署，着力提升居民消费能力，不断夯实消费增长基础，促进消费市场持续稳定增长。</w:t>
      </w:r>
    </w:p>
    <w:p>
      <w:pPr>
        <w:ind w:firstLine="1280" w:firstLineChars="4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编辑：王慧东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3"/>
        <w:bidi w:val="0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正蓝旗20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23年上半年规模以上工业分析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b/>
          <w:bCs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今年以来，随着市场需求逐步恢复，做优做强实体经济，坚决推进稳进提质，加快实现争先突破，在重点企业牵引带动下，我旗规上工业经济总体实现平稳增长。</w:t>
      </w:r>
    </w:p>
    <w:p>
      <w:pPr>
        <w:numPr>
          <w:ilvl w:val="0"/>
          <w:numId w:val="6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上半年规模以上工业生产</w:t>
      </w:r>
      <w:r>
        <w:rPr>
          <w:rFonts w:hint="eastAsia" w:ascii="仿宋" w:hAnsi="仿宋" w:eastAsia="仿宋" w:cs="仿宋"/>
          <w:sz w:val="32"/>
          <w:szCs w:val="32"/>
        </w:rPr>
        <w:t>运行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据统计数据反馈，2023年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上半年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正蓝旗规模以上工业总产值累计同比增长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%，全盟排位第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位；规上工业增加值累计同比增长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%，全盟排位第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二、上半年规模以上工业生产</w:t>
      </w:r>
      <w:r>
        <w:rPr>
          <w:rFonts w:hint="eastAsia" w:ascii="仿宋" w:hAnsi="仿宋" w:eastAsia="仿宋" w:cs="仿宋"/>
          <w:sz w:val="32"/>
          <w:szCs w:val="32"/>
        </w:rPr>
        <w:t>运行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特点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（一）从产业类型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轻工业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实现较快增长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轻工业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累计产值占比0.7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%，产值累计增速为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55.39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%；重工业累计产值占比99.3%，产值增速为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6.07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经济类型看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国有控股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增长稳定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非公有工业企业增长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明显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。全旗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国有控股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企业，累计产值占比96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%，产值累计增速为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3.96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%；非公有工业企业，累计产值占比3.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%，产值累计增速为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173.11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从企业规模看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小微企业增长明显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大中型企业总产值增速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有所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降幅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小微企业累计产值占比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%，产值累计增速为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276.6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%；大中型企业累计产值占比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82.6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%，产值累计增速为-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7.63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（四）从行业运行情况看，风力发电工业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支撑有力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贡献突出。风力发电工业总产值同比增长451.6%，拉动全旗规上工业产值增速11.3个百分点，贡献率高达179.4%；其次，其他常用有色金属冶炼同比增长449.1%，拉动全旗规上工业产值增速2.2个百分点，其贡献率为34.38%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（五）新兴产业快速发展。北方上都正蓝旗新能源有限责任公司是今年2月新提限企业，上拉我旗规上工业总产值增速约为个11.11个百分点。</w:t>
      </w:r>
    </w:p>
    <w:p>
      <w:pPr>
        <w:ind w:firstLine="640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、存在的问题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建议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产业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单一，发电企业占据绝大多数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正蓝旗规模以上工业一共13户，其中发电企业共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累计产值占比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96.5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%，对我旗规上工业企业数据起着决定性作用。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二）狠抓企业培育，扩大市场主体规模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6月底，全旗新达标入统的企业有1户，准备入统企业有1户。相关部门应加大培育力度，大企业培育力度确保工业企业发展有新增量，积极落实奖励政策，为准入规企业做好多方服务，争取早日达规，尽快入库，为全旗工业经济发展早做贡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（三）加大招商引资力度，力促企业稳产增效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围绕全旗产业发展现状与趋势，充分利用优势资源、优势产业和优良环境，为龙头企业谋划、引进一批投资规模大、带动能力强、对长远发展有重要影响的大项目、好项目，推动企业提档、产业提速。围绕文化旅游、现代物流、煤电一体化招大商，实现产业链上下游贯通，延长产业链条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编辑：苏布达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2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</w:pPr>
      <w:r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4AD3A"/>
    <w:multiLevelType w:val="singleLevel"/>
    <w:tmpl w:val="8D44AD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6A79CFC"/>
    <w:multiLevelType w:val="singleLevel"/>
    <w:tmpl w:val="B6A79CFC"/>
    <w:lvl w:ilvl="0" w:tentative="0">
      <w:start w:val="4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2">
    <w:nsid w:val="CB1A3FA4"/>
    <w:multiLevelType w:val="singleLevel"/>
    <w:tmpl w:val="CB1A3FA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E6473CE"/>
    <w:multiLevelType w:val="singleLevel"/>
    <w:tmpl w:val="0E6473C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4">
    <w:nsid w:val="2237AEBF"/>
    <w:multiLevelType w:val="singleLevel"/>
    <w:tmpl w:val="2237AE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717A296"/>
    <w:multiLevelType w:val="singleLevel"/>
    <w:tmpl w:val="6717A2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MDIwNGIxZTAwYWMyMjg2MjUxMWUzZTNkNzBiNTMifQ=="/>
  </w:docVars>
  <w:rsids>
    <w:rsidRoot w:val="00000000"/>
    <w:rsid w:val="40CA720A"/>
    <w:rsid w:val="6FA0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2022&#24180;&#27491;&#34013;&#26071;&#20840;&#20307;&#23621;&#27665;&#20154;&#22343;&#21487;&#25903;&#37197;&#25910;&#20837;000.xlsx" TargetMode="External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Administrator\Desktop\2022&#24180;&#27491;&#34013;&#26071;&#20840;&#20307;&#23621;&#27665;&#20154;&#22343;&#21487;&#25903;&#37197;&#25910;&#20837;00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b="1"/>
              <a:t>2</a:t>
            </a:r>
            <a:r>
              <a:rPr b="1"/>
              <a:t>023年上半年正蓝旗全体居民人均可支配收入</a:t>
            </a:r>
            <a:endParaRPr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'[2022年正蓝旗全体居民人均可支配收入000.xlsx]2021'!$A$3</c:f>
              <c:strCache>
                <c:ptCount val="1"/>
                <c:pt idx="0">
                  <c:v>2022年上半年</c:v>
                </c:pt>
              </c:strCache>
            </c:strRef>
          </c:tx>
          <c:spPr>
            <a:gradFill>
              <a:gsLst>
                <a:gs pos="0">
                  <a:srgbClr val="14CD68"/>
                </a:gs>
                <a:gs pos="100000">
                  <a:srgbClr val="035C7D"/>
                </a:gs>
              </a:gsLst>
              <a:lin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'[2022年正蓝旗全体居民人均可支配收入000.xlsx]2021'!$B$1:$D$2</c:f>
              <c:multiLvlStrCache>
                <c:ptCount val="3"/>
                <c:lvl>
                  <c:pt idx="0" c:formatCode="0.0_ ">
                    <c:v>全体居民人均可支配收入（元）</c:v>
                  </c:pt>
                  <c:pt idx="1" c:formatCode="0.0_ ">
                    <c:v>城镇常住居民人均可支配收入（元）</c:v>
                  </c:pt>
                  <c:pt idx="2" c:formatCode="0.0_ ">
                    <c:v>农村常住居民人均可支配收入（元）</c:v>
                  </c:pt>
                </c:lvl>
                <c:lvl/>
              </c:multiLvlStrCache>
            </c:multiLvlStrRef>
          </c:cat>
          <c:val>
            <c:numRef>
              <c:f>'[2022年正蓝旗全体居民人均可支配收入000.xlsx]2021'!$B$3:$D$3</c:f>
              <c:numCache>
                <c:formatCode>0_ </c:formatCode>
                <c:ptCount val="3"/>
                <c:pt idx="0">
                  <c:v>16545</c:v>
                </c:pt>
                <c:pt idx="1">
                  <c:v>21022</c:v>
                </c:pt>
                <c:pt idx="2">
                  <c:v>10694</c:v>
                </c:pt>
              </c:numCache>
            </c:numRef>
          </c:val>
        </c:ser>
        <c:ser>
          <c:idx val="1"/>
          <c:order val="1"/>
          <c:tx>
            <c:strRef>
              <c:f>'[2022年正蓝旗全体居民人均可支配收入000.xlsx]2021'!$A$4</c:f>
              <c:strCache>
                <c:ptCount val="1"/>
                <c:pt idx="0">
                  <c:v>2023年上半年</c:v>
                </c:pt>
              </c:strCache>
            </c:strRef>
          </c:tx>
          <c:spPr>
            <a:gradFill>
              <a:gsLst>
                <a:gs pos="0">
                  <a:srgbClr val="FE4444"/>
                </a:gs>
                <a:gs pos="100000">
                  <a:srgbClr val="832B2B"/>
                </a:gs>
              </a:gsLst>
              <a:lin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'[2022年正蓝旗全体居民人均可支配收入000.xlsx]2021'!$B$1:$D$2</c:f>
              <c:multiLvlStrCache>
                <c:ptCount val="3"/>
                <c:lvl>
                  <c:pt idx="0" c:formatCode="0.0_ ">
                    <c:v>全体居民人均可支配收入（元）</c:v>
                  </c:pt>
                  <c:pt idx="1" c:formatCode="0.0_ ">
                    <c:v>城镇常住居民人均可支配收入（元）</c:v>
                  </c:pt>
                  <c:pt idx="2" c:formatCode="0.0_ ">
                    <c:v>农村常住居民人均可支配收入（元）</c:v>
                  </c:pt>
                </c:lvl>
                <c:lvl/>
              </c:multiLvlStrCache>
            </c:multiLvlStrRef>
          </c:cat>
          <c:val>
            <c:numRef>
              <c:f>'[2022年正蓝旗全体居民人均可支配收入000.xlsx]2021'!$B$4:$D$4</c:f>
              <c:numCache>
                <c:formatCode>0_ </c:formatCode>
                <c:ptCount val="3"/>
                <c:pt idx="0">
                  <c:v>17664</c:v>
                </c:pt>
                <c:pt idx="1">
                  <c:v>22304</c:v>
                </c:pt>
                <c:pt idx="2">
                  <c:v>11442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39234324"/>
        <c:axId val="836803573"/>
      </c:barChart>
      <c:catAx>
        <c:axId val="73923432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6803573"/>
        <c:crosses val="autoZero"/>
        <c:auto val="1"/>
        <c:lblAlgn val="ctr"/>
        <c:lblOffset val="100"/>
        <c:noMultiLvlLbl val="0"/>
      </c:catAx>
      <c:valAx>
        <c:axId val="83680357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92343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t>2023年上半年正蓝旗全体居民人均消费支出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'[2022年正蓝旗全体居民人均可支配收入000.xlsx]2021'!$A$3</c:f>
              <c:strCache>
                <c:ptCount val="1"/>
                <c:pt idx="0">
                  <c:v>2022年上半年</c:v>
                </c:pt>
              </c:strCache>
            </c:strRef>
          </c:tx>
          <c:spPr>
            <a:gradFill>
              <a:gsLst>
                <a:gs pos="0">
                  <a:schemeClr val="accent1">
                    <a:lumMod val="60000"/>
                    <a:lumOff val="40000"/>
                  </a:schemeClr>
                </a:gs>
                <a:gs pos="15000">
                  <a:schemeClr val="accent1"/>
                </a:gs>
                <a:gs pos="75000">
                  <a:schemeClr val="accent1"/>
                </a:gs>
                <a:gs pos="76000">
                  <a:schemeClr val="accent1">
                    <a:lumMod val="75000"/>
                  </a:schemeClr>
                </a:gs>
                <a:gs pos="100000">
                  <a:schemeClr val="accent1">
                    <a:lumMod val="75000"/>
                  </a:schemeClr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'[2022年正蓝旗全体居民人均可支配收入000.xlsx]2021'!$B$1:$D$2</c:f>
              <c:multiLvlStrCache>
                <c:ptCount val="3"/>
                <c:lvl>
                  <c:pt idx="0" c:formatCode="0.0_ ">
                    <c:v>全体居民人均消费支出（元）</c:v>
                  </c:pt>
                  <c:pt idx="1" c:formatCode="0.0_ ">
                    <c:v>城镇常住居民人均消费支出（元）</c:v>
                  </c:pt>
                  <c:pt idx="2" c:formatCode="0.0_ ">
                    <c:v>农村常住居民人均消费支出（元）</c:v>
                  </c:pt>
                </c:lvl>
                <c:lvl/>
              </c:multiLvlStrCache>
            </c:multiLvlStrRef>
          </c:cat>
          <c:val>
            <c:numRef>
              <c:f>'[2022年正蓝旗全体居民人均可支配收入000.xlsx]2021'!$B$3:$D$3</c:f>
              <c:numCache>
                <c:formatCode>0_ </c:formatCode>
                <c:ptCount val="3"/>
                <c:pt idx="0">
                  <c:v>16545</c:v>
                </c:pt>
                <c:pt idx="1">
                  <c:v>21022</c:v>
                </c:pt>
                <c:pt idx="2">
                  <c:v>10694</c:v>
                </c:pt>
              </c:numCache>
            </c:numRef>
          </c:val>
        </c:ser>
        <c:ser>
          <c:idx val="1"/>
          <c:order val="1"/>
          <c:tx>
            <c:strRef>
              <c:f>'[2022年正蓝旗全体居民人均可支配收入000.xlsx]2021'!$A$4</c:f>
              <c:strCache>
                <c:ptCount val="1"/>
                <c:pt idx="0">
                  <c:v>2023年上半年</c:v>
                </c:pt>
              </c:strCache>
            </c:strRef>
          </c:tx>
          <c:spPr>
            <a:gradFill>
              <a:gsLst>
                <a:gs pos="0">
                  <a:schemeClr val="accent2">
                    <a:lumMod val="60000"/>
                    <a:lumOff val="40000"/>
                  </a:schemeClr>
                </a:gs>
                <a:gs pos="15000">
                  <a:schemeClr val="accent2"/>
                </a:gs>
                <a:gs pos="75000">
                  <a:schemeClr val="accent2"/>
                </a:gs>
                <a:gs pos="76000">
                  <a:schemeClr val="accent2">
                    <a:lumMod val="75000"/>
                  </a:schemeClr>
                </a:gs>
                <a:gs pos="100000">
                  <a:schemeClr val="accent2">
                    <a:lumMod val="75000"/>
                  </a:schemeClr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'[2022年正蓝旗全体居民人均可支配收入000.xlsx]2021'!$B$1:$D$2</c:f>
              <c:multiLvlStrCache>
                <c:ptCount val="3"/>
                <c:lvl>
                  <c:pt idx="0" c:formatCode="0.0_ ">
                    <c:v>全体居民人均消费支出（元）</c:v>
                  </c:pt>
                  <c:pt idx="1" c:formatCode="0.0_ ">
                    <c:v>城镇常住居民人均消费支出（元）</c:v>
                  </c:pt>
                  <c:pt idx="2" c:formatCode="0.0_ ">
                    <c:v>农村常住居民人均消费支出（元）</c:v>
                  </c:pt>
                </c:lvl>
                <c:lvl/>
              </c:multiLvlStrCache>
            </c:multiLvlStrRef>
          </c:cat>
          <c:val>
            <c:numRef>
              <c:f>'[2022年正蓝旗全体居民人均可支配收入000.xlsx]2021'!$B$4:$D$4</c:f>
              <c:numCache>
                <c:formatCode>0_ </c:formatCode>
                <c:ptCount val="3"/>
                <c:pt idx="0">
                  <c:v>17664</c:v>
                </c:pt>
                <c:pt idx="1">
                  <c:v>22304</c:v>
                </c:pt>
                <c:pt idx="2">
                  <c:v>11442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3"/>
        <c:overlap val="-10"/>
        <c:axId val="739234324"/>
        <c:axId val="836803573"/>
      </c:barChart>
      <c:catAx>
        <c:axId val="7392343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6803573"/>
        <c:crosses val="autoZero"/>
        <c:auto val="1"/>
        <c:lblAlgn val="ctr"/>
        <c:lblOffset val="100"/>
        <c:noMultiLvlLbl val="0"/>
      </c:catAx>
      <c:valAx>
        <c:axId val="83680357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92343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【2】">
    <a:dk1>
      <a:srgbClr val="000000"/>
    </a:dk1>
    <a:lt1>
      <a:srgbClr val="FFFFFF"/>
    </a:lt1>
    <a:dk2>
      <a:srgbClr val="0C0E1F"/>
    </a:dk2>
    <a:lt2>
      <a:srgbClr val="FEFFFF"/>
    </a:lt2>
    <a:accent1>
      <a:srgbClr val="F86696"/>
    </a:accent1>
    <a:accent2>
      <a:srgbClr val="FDAB0D"/>
    </a:accent2>
    <a:accent3>
      <a:srgbClr val="4DC4C2"/>
    </a:accent3>
    <a:accent4>
      <a:srgbClr val="FE7352"/>
    </a:accent4>
    <a:accent5>
      <a:srgbClr val="D2CD32"/>
    </a:accent5>
    <a:accent6>
      <a:srgbClr val="78CFB1"/>
    </a:accent6>
    <a:hlink>
      <a:srgbClr val="304FFE"/>
    </a:hlink>
    <a:folHlink>
      <a:srgbClr val="492067"/>
    </a:folHlink>
  </a:clrScheme>
  <a:fontScheme name="自定义 2">
    <a:majorFont>
      <a:latin typeface="微软雅黑"/>
      <a:ea typeface="微软雅黑"/>
      <a:cs typeface=""/>
    </a:majorFont>
    <a:minorFont>
      <a:latin typeface="微软雅黑"/>
      <a:ea typeface="微软雅黑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</cp:lastModifiedBy>
  <dcterms:modified xsi:type="dcterms:W3CDTF">2023-08-18T02:18:16Z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1807B14EA89A45AEAF44151FA1CB021B_13</vt:lpwstr>
  </property>
</Properties>
</file>